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6739D">
      <w:pPr>
        <w:spacing w:line="600" w:lineRule="exact"/>
        <w:rPr>
          <w:rFonts w:eastAsia="黑体"/>
          <w:color w:val="000000"/>
          <w:sz w:val="32"/>
          <w:szCs w:val="32"/>
        </w:rPr>
      </w:pPr>
      <w:r>
        <w:rPr>
          <w:rFonts w:eastAsia="黑体"/>
          <w:color w:val="000000"/>
          <w:sz w:val="32"/>
          <w:szCs w:val="32"/>
        </w:rPr>
        <w:t>附件2</w:t>
      </w:r>
      <w:r>
        <w:rPr>
          <w:rFonts w:hint="eastAsia" w:eastAsia="黑体"/>
          <w:color w:val="000000"/>
          <w:sz w:val="32"/>
          <w:szCs w:val="32"/>
        </w:rPr>
        <w:t>-3</w:t>
      </w:r>
    </w:p>
    <w:p w14:paraId="27046E8A">
      <w:pPr>
        <w:widowControl/>
        <w:spacing w:line="600" w:lineRule="exact"/>
        <w:rPr>
          <w:rFonts w:eastAsia="仿宋"/>
          <w:color w:val="000000"/>
          <w:kern w:val="0"/>
          <w:sz w:val="32"/>
          <w:szCs w:val="32"/>
        </w:rPr>
      </w:pPr>
    </w:p>
    <w:p w14:paraId="5CA45F8D">
      <w:pPr>
        <w:widowControl/>
        <w:spacing w:line="600" w:lineRule="exact"/>
        <w:jc w:val="center"/>
        <w:rPr>
          <w:rFonts w:eastAsia="方正小标宋简体"/>
          <w:color w:val="000000"/>
          <w:sz w:val="44"/>
          <w:szCs w:val="44"/>
        </w:rPr>
      </w:pPr>
      <w:bookmarkStart w:id="0" w:name="_GoBack"/>
      <w:r>
        <w:rPr>
          <w:rFonts w:eastAsia="方正小标宋简体"/>
          <w:color w:val="000000"/>
          <w:sz w:val="44"/>
          <w:szCs w:val="44"/>
        </w:rPr>
        <w:t>部分指标和要求说明</w:t>
      </w:r>
    </w:p>
    <w:bookmarkEnd w:id="0"/>
    <w:p w14:paraId="0728F557">
      <w:pPr>
        <w:widowControl/>
        <w:spacing w:line="600" w:lineRule="exact"/>
        <w:jc w:val="center"/>
        <w:rPr>
          <w:b/>
          <w:bCs/>
          <w:color w:val="000000"/>
          <w:sz w:val="44"/>
          <w:szCs w:val="44"/>
        </w:rPr>
      </w:pPr>
    </w:p>
    <w:p w14:paraId="7A167EEB">
      <w:pPr>
        <w:spacing w:line="600" w:lineRule="exact"/>
        <w:ind w:firstLine="640" w:firstLineChars="200"/>
        <w:rPr>
          <w:rFonts w:eastAsia="仿宋"/>
          <w:color w:val="000000"/>
          <w:sz w:val="32"/>
          <w:szCs w:val="32"/>
        </w:rPr>
      </w:pPr>
      <w:r>
        <w:rPr>
          <w:rFonts w:eastAsia="仿宋"/>
          <w:color w:val="000000"/>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14:paraId="14AC8BEB">
      <w:pPr>
        <w:spacing w:line="600" w:lineRule="exact"/>
        <w:ind w:firstLine="640" w:firstLineChars="200"/>
        <w:rPr>
          <w:rFonts w:eastAsia="仿宋"/>
          <w:color w:val="000000"/>
          <w:sz w:val="32"/>
          <w:szCs w:val="32"/>
        </w:rPr>
      </w:pPr>
      <w:r>
        <w:rPr>
          <w:rFonts w:eastAsia="仿宋"/>
          <w:color w:val="000000"/>
          <w:sz w:val="32"/>
          <w:szCs w:val="32"/>
        </w:rPr>
        <w:t>（二）所称拥有自主品牌是指主营业务产品或服务具有自主知识产权，且符合下列条件之一：</w:t>
      </w:r>
    </w:p>
    <w:p w14:paraId="076614AE">
      <w:pPr>
        <w:spacing w:line="600" w:lineRule="exact"/>
        <w:ind w:firstLine="616" w:firstLineChars="200"/>
        <w:rPr>
          <w:rFonts w:eastAsia="仿宋"/>
          <w:color w:val="000000"/>
          <w:sz w:val="32"/>
          <w:szCs w:val="32"/>
        </w:rPr>
      </w:pPr>
      <w:r>
        <w:rPr>
          <w:rFonts w:eastAsia="仿宋"/>
          <w:color w:val="000000"/>
          <w:spacing w:val="-6"/>
          <w:sz w:val="32"/>
          <w:szCs w:val="32"/>
        </w:rPr>
        <w:t>1.产品或服务品牌已经国家知识产权局商标局正式注册。</w:t>
      </w:r>
    </w:p>
    <w:p w14:paraId="46354B75">
      <w:pPr>
        <w:spacing w:line="600" w:lineRule="exact"/>
        <w:ind w:firstLine="640" w:firstLineChars="200"/>
        <w:rPr>
          <w:rFonts w:eastAsia="仿宋"/>
          <w:color w:val="000000"/>
          <w:sz w:val="32"/>
          <w:szCs w:val="32"/>
        </w:rPr>
      </w:pPr>
      <w:r>
        <w:rPr>
          <w:rFonts w:eastAsia="仿宋"/>
          <w:color w:val="000000"/>
          <w:sz w:val="32"/>
          <w:szCs w:val="32"/>
        </w:rPr>
        <w:t>2.产品或服务已经实现收入。</w:t>
      </w:r>
    </w:p>
    <w:p w14:paraId="7A0AC621">
      <w:pPr>
        <w:spacing w:line="600" w:lineRule="exact"/>
        <w:ind w:firstLine="640" w:firstLineChars="200"/>
        <w:rPr>
          <w:rFonts w:eastAsia="仿宋"/>
          <w:color w:val="000000"/>
          <w:sz w:val="32"/>
          <w:szCs w:val="32"/>
        </w:rPr>
      </w:pPr>
      <w:r>
        <w:rPr>
          <w:rFonts w:eastAsia="仿宋"/>
          <w:color w:val="000000"/>
          <w:sz w:val="32"/>
          <w:szCs w:val="32"/>
        </w:rPr>
        <w:t>（三）所称“Ⅰ类知识产权”包括发明专利（含国防专利）、植物新品种、国家级农作物品种、国家新药、国家一级中药保护品种、集成电路布图设计专有权（均不包含转让未满1年的知识产权）。</w:t>
      </w:r>
    </w:p>
    <w:p w14:paraId="49541036">
      <w:pPr>
        <w:spacing w:line="600" w:lineRule="exact"/>
        <w:ind w:firstLine="640" w:firstLineChars="200"/>
        <w:rPr>
          <w:rFonts w:eastAsia="仿宋"/>
          <w:color w:val="000000"/>
          <w:sz w:val="32"/>
          <w:szCs w:val="32"/>
        </w:rPr>
      </w:pPr>
      <w:r>
        <w:rPr>
          <w:rFonts w:eastAsia="仿宋"/>
          <w:color w:val="000000"/>
          <w:sz w:val="32"/>
          <w:szCs w:val="32"/>
        </w:rPr>
        <w:t>（四）所称“Ⅰ类高价值知识产权”须符合以下条件之一：</w:t>
      </w:r>
    </w:p>
    <w:p w14:paraId="3775EB21">
      <w:pPr>
        <w:spacing w:line="600" w:lineRule="exact"/>
        <w:ind w:firstLine="640" w:firstLineChars="200"/>
        <w:rPr>
          <w:rFonts w:eastAsia="仿宋"/>
          <w:color w:val="000000"/>
          <w:sz w:val="32"/>
          <w:szCs w:val="32"/>
        </w:rPr>
      </w:pPr>
      <w:r>
        <w:rPr>
          <w:rFonts w:eastAsia="仿宋"/>
          <w:color w:val="000000"/>
          <w:sz w:val="32"/>
          <w:szCs w:val="32"/>
        </w:rPr>
        <w:t>1.在海外有同族专利权的发明专利或在海外取得收入的其他Ⅰ类知识产权，其中专利限G20成员、新加坡以及欧洲专利局经实质审查后获得授权的发明专利。</w:t>
      </w:r>
    </w:p>
    <w:p w14:paraId="039FA221">
      <w:pPr>
        <w:spacing w:line="600" w:lineRule="exact"/>
        <w:ind w:firstLine="640" w:firstLineChars="200"/>
        <w:rPr>
          <w:rFonts w:eastAsia="仿宋"/>
          <w:color w:val="000000"/>
          <w:sz w:val="32"/>
          <w:szCs w:val="32"/>
        </w:rPr>
      </w:pPr>
      <w:r>
        <w:rPr>
          <w:rFonts w:eastAsia="仿宋"/>
          <w:color w:val="000000"/>
          <w:sz w:val="32"/>
          <w:szCs w:val="32"/>
        </w:rPr>
        <w:t>2.维持年限超过10年的Ⅰ类知识产权。</w:t>
      </w:r>
    </w:p>
    <w:p w14:paraId="2613E489">
      <w:pPr>
        <w:spacing w:line="600" w:lineRule="exact"/>
        <w:ind w:firstLine="640" w:firstLineChars="200"/>
        <w:rPr>
          <w:rFonts w:eastAsia="仿宋"/>
          <w:color w:val="000000"/>
          <w:sz w:val="32"/>
          <w:szCs w:val="32"/>
        </w:rPr>
      </w:pPr>
      <w:r>
        <w:rPr>
          <w:rFonts w:eastAsia="仿宋"/>
          <w:color w:val="000000"/>
          <w:sz w:val="32"/>
          <w:szCs w:val="32"/>
        </w:rPr>
        <w:t>3.实现较高质押融资金额的Ⅰ类知识产权。</w:t>
      </w:r>
    </w:p>
    <w:p w14:paraId="40420CE1">
      <w:pPr>
        <w:spacing w:line="600" w:lineRule="exact"/>
        <w:ind w:firstLine="640" w:firstLineChars="200"/>
        <w:rPr>
          <w:rFonts w:eastAsia="仿宋"/>
          <w:color w:val="000000"/>
          <w:sz w:val="32"/>
          <w:szCs w:val="32"/>
        </w:rPr>
      </w:pPr>
      <w:r>
        <w:rPr>
          <w:rFonts w:eastAsia="仿宋"/>
          <w:color w:val="000000"/>
          <w:sz w:val="32"/>
          <w:szCs w:val="32"/>
        </w:rPr>
        <w:t>4.获得国家科学技术奖或中国专利奖的Ⅰ类知识产权。</w:t>
      </w:r>
    </w:p>
    <w:p w14:paraId="188C38B0">
      <w:pPr>
        <w:spacing w:line="600" w:lineRule="exact"/>
        <w:ind w:firstLine="640" w:firstLineChars="200"/>
        <w:rPr>
          <w:rFonts w:eastAsia="仿宋"/>
          <w:color w:val="000000"/>
          <w:sz w:val="32"/>
          <w:szCs w:val="32"/>
        </w:rPr>
      </w:pPr>
      <w:r>
        <w:rPr>
          <w:rFonts w:eastAsia="仿宋"/>
          <w:color w:val="000000"/>
          <w:sz w:val="32"/>
          <w:szCs w:val="32"/>
        </w:rPr>
        <w:t>（五）所称“Ⅱ类知识产权”包括与主导产品相关的软件著作权（不含商标）、授权后维持超过2年的实用新型专利或外观设计专利（均不包含转让未满1年的知识产权）。</w:t>
      </w:r>
    </w:p>
    <w:p w14:paraId="7EC2D72B">
      <w:pPr>
        <w:spacing w:line="600" w:lineRule="exact"/>
        <w:ind w:firstLine="640" w:firstLineChars="200"/>
        <w:rPr>
          <w:rFonts w:eastAsia="仿宋"/>
          <w:color w:val="000000"/>
          <w:sz w:val="32"/>
          <w:szCs w:val="32"/>
        </w:rPr>
      </w:pPr>
      <w:r>
        <w:rPr>
          <w:rFonts w:eastAsia="仿宋"/>
          <w:color w:val="000000"/>
          <w:sz w:val="32"/>
          <w:szCs w:val="32"/>
        </w:rPr>
        <w:t>（六）所称“企业数字化转型水平”是指在优质中小企业梯度培育平台完成数字化水平免费自测，具体自测网址、相关标准等事宜，另行明确。</w:t>
      </w:r>
    </w:p>
    <w:p w14:paraId="1C6CB9CE">
      <w:pPr>
        <w:spacing w:line="600" w:lineRule="exact"/>
        <w:ind w:firstLine="640" w:firstLineChars="200"/>
        <w:rPr>
          <w:rFonts w:eastAsia="仿宋"/>
          <w:color w:val="000000"/>
          <w:sz w:val="32"/>
          <w:szCs w:val="32"/>
        </w:rPr>
      </w:pPr>
      <w:r>
        <w:rPr>
          <w:rFonts w:eastAsia="仿宋"/>
          <w:color w:val="000000"/>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14:paraId="3055CCAD">
      <w:pPr>
        <w:spacing w:line="600" w:lineRule="exact"/>
        <w:ind w:firstLine="640" w:firstLineChars="200"/>
        <w:rPr>
          <w:rFonts w:eastAsia="仿宋"/>
          <w:color w:val="000000"/>
          <w:sz w:val="32"/>
          <w:szCs w:val="32"/>
        </w:rPr>
      </w:pPr>
      <w:r>
        <w:rPr>
          <w:rFonts w:eastAsia="仿宋"/>
          <w:color w:val="000000"/>
          <w:sz w:val="32"/>
          <w:szCs w:val="32"/>
        </w:rPr>
        <w:t>（八）所称“股权融资”是指公司股东稀释部分公司股权给投资人，以增资扩股（出让股权不超过30%）的方式引进新的股东，从而取得公司融资的方式。</w:t>
      </w:r>
    </w:p>
    <w:p w14:paraId="37E7D66B">
      <w:pPr>
        <w:spacing w:line="600" w:lineRule="exact"/>
        <w:ind w:firstLine="640" w:firstLineChars="200"/>
        <w:rPr>
          <w:rFonts w:eastAsia="仿宋"/>
          <w:color w:val="000000"/>
          <w:sz w:val="32"/>
          <w:szCs w:val="32"/>
        </w:rPr>
      </w:pPr>
      <w:r>
        <w:rPr>
          <w:rFonts w:eastAsia="仿宋"/>
          <w:color w:val="000000"/>
          <w:sz w:val="32"/>
          <w:szCs w:val="32"/>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14:paraId="65D21BA1">
      <w:pPr>
        <w:spacing w:line="600" w:lineRule="exact"/>
        <w:ind w:firstLine="640" w:firstLineChars="200"/>
        <w:rPr>
          <w:rFonts w:eastAsia="仿宋"/>
          <w:color w:val="000000"/>
          <w:sz w:val="32"/>
          <w:szCs w:val="32"/>
        </w:rPr>
      </w:pPr>
      <w:r>
        <w:rPr>
          <w:rFonts w:eastAsia="仿宋"/>
          <w:color w:val="000000"/>
          <w:sz w:val="32"/>
          <w:szCs w:val="32"/>
        </w:rPr>
        <w:t>（十）所称“主导产品”是指企业核心技术在产品中发挥重要作用，且产品收入之和占企业同期营业收入比重超过50%。</w:t>
      </w:r>
    </w:p>
    <w:p w14:paraId="1CEDA9D2">
      <w:pPr>
        <w:spacing w:line="600" w:lineRule="exact"/>
        <w:ind w:firstLine="640" w:firstLineChars="200"/>
        <w:rPr>
          <w:rFonts w:eastAsia="仿宋"/>
          <w:color w:val="000000"/>
          <w:sz w:val="32"/>
          <w:szCs w:val="32"/>
        </w:rPr>
      </w:pPr>
      <w:r>
        <w:rPr>
          <w:rFonts w:eastAsia="仿宋"/>
          <w:color w:val="000000"/>
          <w:sz w:val="32"/>
          <w:szCs w:val="32"/>
        </w:rPr>
        <w:t>（十一）所称“省级科技奖励”包括各省、自治区、直辖市科学技术奖的一、二、三等奖；“国家级科技奖励”包括国家科学技术进步奖、国家自然科学奖、国家技术发明奖，以及国防科技奖。</w:t>
      </w:r>
    </w:p>
    <w:p w14:paraId="3FF58AD5">
      <w:pPr>
        <w:spacing w:line="600" w:lineRule="exact"/>
        <w:ind w:firstLine="640" w:firstLineChars="200"/>
        <w:rPr>
          <w:rFonts w:eastAsia="仿宋"/>
          <w:color w:val="000000"/>
          <w:sz w:val="32"/>
          <w:szCs w:val="32"/>
        </w:rPr>
      </w:pPr>
      <w:r>
        <w:rPr>
          <w:rFonts w:eastAsia="仿宋"/>
          <w:color w:val="000000"/>
          <w:sz w:val="32"/>
          <w:szCs w:val="32"/>
        </w:rPr>
        <w:t>（十二）如无特殊说明，所称“以上”、“以下”，包括本数；所称的“超过”，不包括本数。在计算评价指标得分时，如指标值位于两个评分区间边界上，按高分计算得分。</w:t>
      </w:r>
    </w:p>
    <w:p w14:paraId="25F2CB48">
      <w:pPr>
        <w:spacing w:line="600" w:lineRule="exact"/>
        <w:ind w:firstLine="640" w:firstLineChars="200"/>
        <w:rPr>
          <w:rFonts w:eastAsia="仿宋"/>
          <w:color w:val="000000"/>
          <w:sz w:val="32"/>
          <w:szCs w:val="32"/>
        </w:rPr>
      </w:pPr>
      <w:r>
        <w:rPr>
          <w:rFonts w:eastAsia="仿宋"/>
          <w:color w:val="000000"/>
          <w:sz w:val="32"/>
          <w:szCs w:val="32"/>
        </w:rPr>
        <w:t>（十三）本办法部分指标计算公式</w:t>
      </w:r>
    </w:p>
    <w:p w14:paraId="1AECCD7C">
      <w:pPr>
        <w:spacing w:line="600" w:lineRule="exact"/>
        <w:ind w:firstLine="640" w:firstLineChars="200"/>
        <w:rPr>
          <w:rFonts w:eastAsia="仿宋"/>
          <w:color w:val="000000"/>
          <w:sz w:val="32"/>
          <w:szCs w:val="32"/>
        </w:rPr>
      </w:pPr>
      <w:r>
        <w:rPr>
          <w:rFonts w:eastAsia="仿宋"/>
          <w:color w:val="000000"/>
          <w:sz w:val="32"/>
          <w:szCs w:val="32"/>
        </w:rPr>
        <w:t>近2年主营业务收入平均增长率=（企业上一年度主营业务收入增长率+企业上上年度主营业务收入增长率）/2。</w:t>
      </w:r>
    </w:p>
    <w:p w14:paraId="7C6E25BC">
      <w:pPr>
        <w:spacing w:line="600" w:lineRule="exact"/>
        <w:ind w:firstLine="640" w:firstLineChars="200"/>
        <w:rPr>
          <w:rFonts w:eastAsia="仿宋"/>
          <w:color w:val="000000"/>
          <w:sz w:val="32"/>
          <w:szCs w:val="32"/>
        </w:rPr>
      </w:pPr>
      <w:r>
        <w:rPr>
          <w:rFonts w:eastAsia="仿宋"/>
          <w:color w:val="000000"/>
          <w:sz w:val="32"/>
          <w:szCs w:val="32"/>
        </w:rPr>
        <w:t>（十四）所称“被列入经营异常名录”以国家企业信用信息公示系统（http://www.gsxt.gov.cn）查询结果为准；所称“严</w:t>
      </w:r>
    </w:p>
    <w:p w14:paraId="7D508EA8">
      <w:pPr>
        <w:spacing w:line="600" w:lineRule="exact"/>
        <w:ind w:firstLine="640" w:firstLineChars="200"/>
        <w:rPr>
          <w:rFonts w:hint="eastAsia" w:eastAsia="仿宋"/>
          <w:color w:val="000000"/>
          <w:sz w:val="32"/>
          <w:szCs w:val="32"/>
        </w:rPr>
      </w:pPr>
      <w:r>
        <w:rPr>
          <w:rFonts w:eastAsia="仿宋"/>
          <w:color w:val="000000"/>
          <w:sz w:val="32"/>
          <w:szCs w:val="32"/>
        </w:rPr>
        <w:t>重失信主体名单”以信用中国（http://www.creditchina.gov.cn）查询结果为准</w:t>
      </w:r>
      <w:r>
        <w:rPr>
          <w:rFonts w:hint="eastAsia" w:eastAsia="仿宋"/>
          <w:color w:val="000000"/>
          <w:sz w:val="32"/>
          <w:szCs w:val="32"/>
        </w:rPr>
        <w:t>。</w:t>
      </w:r>
    </w:p>
    <w:p w14:paraId="2237F48C">
      <w:pPr>
        <w:spacing w:line="600" w:lineRule="exact"/>
        <w:ind w:firstLine="640" w:firstLineChars="200"/>
        <w:rPr>
          <w:rFonts w:eastAsia="仿宋"/>
          <w:color w:val="000000"/>
          <w:sz w:val="32"/>
          <w:szCs w:val="32"/>
        </w:rPr>
      </w:pPr>
      <w:r>
        <w:rPr>
          <w:rFonts w:hint="eastAsia" w:eastAsia="仿宋"/>
          <w:color w:val="000000"/>
          <w:sz w:val="32"/>
          <w:szCs w:val="32"/>
        </w:rPr>
        <w:t>（十五）</w:t>
      </w:r>
      <w:r>
        <w:rPr>
          <w:rFonts w:eastAsia="仿宋"/>
          <w:color w:val="000000"/>
          <w:sz w:val="32"/>
          <w:szCs w:val="32"/>
        </w:rPr>
        <w:t>所称“创客中国”中小企业创新创业大赛全国500强、50强企业组名单是指该大赛2021年以来正式发布的名单。</w:t>
      </w:r>
    </w:p>
    <w:p w14:paraId="5BF197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5FCF4097"/>
    <w:rsid w:val="5FCF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2025-02-08T02:08:00Z</dcterms:created>
  <dc:creator>杨祖德</dc:creator>
  <cp:lastModifiedBy>杨祖德</cp:lastModifiedBy>
  <dcterms:modified xsi:type="dcterms:W3CDTF">2025-02-08T02:08:50Z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E68222C6394848D299D35993C512A18A_11</vt:lpwstr>
  </property>
</Properties>
</file>